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58DDC">
      <w:pPr>
        <w:spacing w:line="480" w:lineRule="auto"/>
        <w:jc w:val="center"/>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2025 Global Innovation Show </w:t>
      </w:r>
      <w:r>
        <w:rPr>
          <w:rFonts w:hint="default" w:ascii="Times New Roman" w:hAnsi="Times New Roman" w:cs="Times New Roman"/>
          <w:b/>
          <w:bCs/>
          <w:sz w:val="24"/>
          <w:szCs w:val="32"/>
          <w:lang w:val="en-US" w:eastAsia="zh-CN"/>
        </w:rPr>
        <w:t xml:space="preserve">&amp; Global Innovation Summit·Hong Kong (GIS) </w:t>
      </w:r>
      <w:r>
        <w:rPr>
          <w:rFonts w:hint="default" w:ascii="Times New Roman" w:hAnsi="Times New Roman" w:cs="Times New Roman"/>
          <w:b/>
          <w:bCs/>
          <w:sz w:val="24"/>
          <w:szCs w:val="32"/>
        </w:rPr>
        <w:t xml:space="preserve"> </w:t>
      </w:r>
    </w:p>
    <w:p w14:paraId="7FB8713F">
      <w:pPr>
        <w:spacing w:line="480" w:lineRule="auto"/>
        <w:jc w:val="center"/>
        <w:rPr>
          <w:rFonts w:hint="default" w:ascii="Times New Roman" w:hAnsi="Times New Roman" w:cs="Times New Roman"/>
          <w:b/>
          <w:bCs/>
          <w:sz w:val="24"/>
          <w:szCs w:val="32"/>
        </w:rPr>
      </w:pPr>
      <w:bookmarkStart w:id="0" w:name="_GoBack"/>
      <w:bookmarkEnd w:id="0"/>
      <w:r>
        <w:rPr>
          <w:rFonts w:hint="default" w:ascii="Times New Roman" w:hAnsi="Times New Roman" w:cs="Times New Roman"/>
          <w:b/>
          <w:bCs/>
          <w:sz w:val="24"/>
          <w:szCs w:val="32"/>
        </w:rPr>
        <w:t>Booth Introduction</w:t>
      </w:r>
    </w:p>
    <w:p w14:paraId="4EBF9339">
      <w:pPr>
        <w:pStyle w:val="3"/>
        <w:spacing w:line="360" w:lineRule="auto"/>
        <w:ind w:left="0" w:leftChars="0" w:firstLine="220" w:firstLineChars="110"/>
        <w:rPr>
          <w:rFonts w:hint="eastAsia"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The 2025 Global Innovation Show</w:t>
      </w:r>
      <w:r>
        <w:rPr>
          <w:rFonts w:hint="eastAsia" w:ascii="Times New Roman" w:hAnsi="Times New Roman" w:cs="Times New Roman"/>
          <w:kern w:val="2"/>
          <w:sz w:val="20"/>
          <w:szCs w:val="20"/>
          <w:lang w:val="en-US" w:eastAsia="zh-CN" w:bidi="ar-SA"/>
        </w:rPr>
        <w:t xml:space="preserve"> &amp; </w:t>
      </w:r>
      <w:r>
        <w:rPr>
          <w:rFonts w:hint="eastAsia" w:ascii="Times New Roman" w:hAnsi="Times New Roman" w:cs="Times New Roman" w:eastAsiaTheme="minorEastAsia"/>
          <w:kern w:val="2"/>
          <w:sz w:val="20"/>
          <w:szCs w:val="20"/>
          <w:lang w:val="en-US" w:eastAsia="zh-CN" w:bidi="ar-SA"/>
        </w:rPr>
        <w:t>Global Innovation</w:t>
      </w:r>
      <w:r>
        <w:rPr>
          <w:rFonts w:hint="eastAsia" w:ascii="Times New Roman" w:hAnsi="Times New Roman" w:cs="Times New Roman"/>
          <w:kern w:val="2"/>
          <w:sz w:val="20"/>
          <w:szCs w:val="20"/>
          <w:lang w:val="en-US" w:eastAsia="zh-CN" w:bidi="ar-SA"/>
        </w:rPr>
        <w:t xml:space="preserve"> Summit·</w:t>
      </w:r>
      <w:r>
        <w:rPr>
          <w:rFonts w:hint="eastAsia" w:ascii="Times New Roman" w:hAnsi="Times New Roman" w:cs="Times New Roman" w:eastAsiaTheme="minorEastAsia"/>
          <w:kern w:val="2"/>
          <w:sz w:val="20"/>
          <w:szCs w:val="20"/>
          <w:lang w:val="en-US" w:eastAsia="zh-CN" w:bidi="ar-SA"/>
        </w:rPr>
        <w:t>Hong Kong (GIS)  is set to take place on December 2–3, 2025 at The AsiaWorld-Expo in Hong Kong.</w:t>
      </w:r>
    </w:p>
    <w:p w14:paraId="555D580A">
      <w:pPr>
        <w:pStyle w:val="3"/>
        <w:spacing w:line="360" w:lineRule="auto"/>
        <w:ind w:left="0" w:leftChars="0" w:firstLine="220" w:firstLineChars="110"/>
        <w:rPr>
          <w:rFonts w:hint="eastAsia"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This premier technology event is hosted by the Global Tech Innovation Alliance (Hong Kong) (GTIA) and co-hosted by the Silicon Valley Innovation &amp; Entrepreneurship Forum (SVIEF)、IPEF、Bauhinia Magazine. It is organized by Beijing Gaochuang Technology Co., Ltd and Beijing Zhongji Shengshi Intelligent Technology Co., Ltd. (2045 Accelerator).Co-Executive Organizers are Shenzhen innoX、NSRTimes、Beijing Industry-Finance-R&amp;D Synergy Technology Development Co.,</w:t>
      </w:r>
      <w:r>
        <w:rPr>
          <w:rFonts w:hint="eastAsia" w:ascii="Times New Roman" w:hAnsi="Times New Roman" w:cs="Times New Roman"/>
          <w:kern w:val="2"/>
          <w:sz w:val="20"/>
          <w:szCs w:val="20"/>
          <w:lang w:val="en-US" w:eastAsia="zh-CN" w:bidi="ar-SA"/>
        </w:rPr>
        <w:t xml:space="preserve"> </w:t>
      </w:r>
      <w:r>
        <w:rPr>
          <w:rFonts w:hint="eastAsia" w:ascii="Times New Roman" w:hAnsi="Times New Roman" w:cs="Times New Roman" w:eastAsiaTheme="minorEastAsia"/>
          <w:kern w:val="2"/>
          <w:sz w:val="20"/>
          <w:szCs w:val="20"/>
          <w:lang w:val="en-US" w:eastAsia="zh-CN" w:bidi="ar-SA"/>
        </w:rPr>
        <w:t>Ltd..Co-organizers are Hangzhou Venture Capital Association、Hong Kong-Mainland International Investment Society、Hong Kong Blockchain Association、Humanoid Robot Scene Application Alliance，HRSA、LiDE Robot Platform、Guangxi Carbon Neutrality Industry Service Promotion Association、Shenzhen Low-Carbon Industry Investment Chamber of Commerce.</w:t>
      </w:r>
    </w:p>
    <w:p w14:paraId="0B8882E2">
      <w:pPr>
        <w:pStyle w:val="3"/>
        <w:spacing w:line="360" w:lineRule="auto"/>
        <w:ind w:left="0" w:leftChars="0" w:firstLine="220" w:firstLineChars="110"/>
        <w:rPr>
          <w:rFonts w:hint="default"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Dedicated to advancing global exchanges and collaboration in scientific and technological innovation, GIS champions the principle of “Technology for Good” and “AI for Good”. As a world-class platform for the launch of cutting-edge innovations, it will bring together over 900 pioneering start-ups from leading innovation hubs including Europe, the United States, China, Japan, Singapore, and Australia, alongside more than 100 global Fortune 500 companies, unicorns, and industry leaders. The focus will be on the industrialization of disruptive technologies.</w:t>
      </w:r>
    </w:p>
    <w:p w14:paraId="28B9715A">
      <w:pPr>
        <w:spacing w:line="360" w:lineRule="auto"/>
        <w:ind w:left="0" w:leftChars="0" w:firstLine="208" w:firstLineChars="104"/>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This year's GIS will offer three types of booth options to meet the diverse needs of exhibitors. Each booth will be provided with 3 staff tickets for exhibitors, which can be used to access all venues, and entitle the holders to enjoy exhibitor lunches, coffee, tea and the exhibitor lounge. If your organization has an intention to participate in the exhibition, please contact the staff.</w:t>
      </w:r>
    </w:p>
    <w:p w14:paraId="00D8F2B3">
      <w:pPr>
        <w:spacing w:line="360" w:lineRule="auto"/>
        <w:ind w:left="0" w:leftChars="0" w:firstLine="218" w:firstLineChars="104"/>
        <w:rPr>
          <w:rFonts w:hint="default" w:ascii="Times New Roman" w:hAnsi="Times New Roman" w:cs="Times New Roman"/>
          <w:lang w:val="en-US" w:eastAsia="zh-CN"/>
        </w:rPr>
      </w:pPr>
    </w:p>
    <w:tbl>
      <w:tblPr>
        <w:tblStyle w:val="6"/>
        <w:tblW w:w="86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95"/>
        <w:gridCol w:w="1372"/>
        <w:gridCol w:w="4463"/>
        <w:gridCol w:w="1691"/>
      </w:tblGrid>
      <w:tr w14:paraId="4975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1095" w:type="dxa"/>
            <w:tcBorders>
              <w:top w:val="single" w:color="77B900" w:sz="2" w:space="0"/>
              <w:left w:val="single" w:color="77B900" w:sz="2" w:space="0"/>
              <w:bottom w:val="single" w:color="77B900" w:sz="2" w:space="0"/>
              <w:right w:val="single" w:color="77B900" w:sz="2" w:space="0"/>
            </w:tcBorders>
            <w:shd w:val="clear" w:color="auto" w:fill="77B900"/>
            <w:tcMar>
              <w:left w:w="108" w:type="dxa"/>
              <w:right w:w="108" w:type="dxa"/>
            </w:tcMar>
            <w:vAlign w:val="center"/>
          </w:tcPr>
          <w:p w14:paraId="79281D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b/>
                <w:bCs/>
                <w:color w:val="FFFFFF" w:themeColor="background1"/>
                <w:sz w:val="18"/>
                <w:szCs w:val="21"/>
                <w:lang w:val="en-US" w:eastAsia="zh-CN"/>
                <w14:textFill>
                  <w14:solidFill>
                    <w14:schemeClr w14:val="bg1"/>
                  </w14:solidFill>
                </w14:textFill>
              </w:rPr>
            </w:pPr>
            <w:r>
              <w:rPr>
                <w:rFonts w:hint="default" w:ascii="Times New Roman" w:hAnsi="Times New Roman" w:cs="Times New Roman"/>
                <w:b/>
                <w:bCs/>
                <w:color w:val="FFFFFF" w:themeColor="background1"/>
                <w:sz w:val="18"/>
                <w:szCs w:val="21"/>
                <w:lang w:val="en-US" w:eastAsia="zh-CN"/>
                <w14:textFill>
                  <w14:solidFill>
                    <w14:schemeClr w14:val="bg1"/>
                  </w14:solidFill>
                </w14:textFill>
              </w:rPr>
              <w:t>Booth Type</w:t>
            </w:r>
          </w:p>
        </w:tc>
        <w:tc>
          <w:tcPr>
            <w:tcW w:w="1372" w:type="dxa"/>
            <w:tcBorders>
              <w:top w:val="single" w:color="77B900" w:sz="2" w:space="0"/>
              <w:left w:val="single" w:color="77B900" w:sz="2" w:space="0"/>
              <w:bottom w:val="single" w:color="77B900" w:sz="2" w:space="0"/>
              <w:right w:val="single" w:color="77B900" w:sz="2" w:space="0"/>
            </w:tcBorders>
            <w:shd w:val="clear" w:color="auto" w:fill="77B900"/>
            <w:tcMar>
              <w:left w:w="108" w:type="dxa"/>
              <w:right w:w="108" w:type="dxa"/>
            </w:tcMar>
            <w:vAlign w:val="center"/>
          </w:tcPr>
          <w:p w14:paraId="30641F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b/>
                <w:bCs/>
                <w:color w:val="FFFFFF" w:themeColor="background1"/>
                <w:sz w:val="18"/>
                <w:szCs w:val="21"/>
                <w:lang w:val="en-US" w:eastAsia="zh-CN"/>
                <w14:textFill>
                  <w14:solidFill>
                    <w14:schemeClr w14:val="bg1"/>
                  </w14:solidFill>
                </w14:textFill>
              </w:rPr>
            </w:pPr>
            <w:r>
              <w:rPr>
                <w:rFonts w:hint="default" w:ascii="Times New Roman" w:hAnsi="Times New Roman" w:cs="Times New Roman"/>
                <w:b/>
                <w:bCs/>
                <w:color w:val="FFFFFF" w:themeColor="background1"/>
                <w:sz w:val="18"/>
                <w:szCs w:val="21"/>
                <w:lang w:val="en-US" w:eastAsia="zh-CN"/>
                <w14:textFill>
                  <w14:solidFill>
                    <w14:schemeClr w14:val="bg1"/>
                  </w14:solidFill>
                </w14:textFill>
              </w:rPr>
              <w:t>Area</w:t>
            </w:r>
          </w:p>
        </w:tc>
        <w:tc>
          <w:tcPr>
            <w:tcW w:w="4463" w:type="dxa"/>
            <w:tcBorders>
              <w:top w:val="single" w:color="77B900" w:sz="2" w:space="0"/>
              <w:left w:val="single" w:color="77B900" w:sz="2" w:space="0"/>
              <w:bottom w:val="single" w:color="77B900" w:sz="2" w:space="0"/>
              <w:right w:val="single" w:color="77B900" w:sz="2" w:space="0"/>
            </w:tcBorders>
            <w:shd w:val="clear" w:color="auto" w:fill="77B900"/>
            <w:tcMar>
              <w:left w:w="108" w:type="dxa"/>
              <w:right w:w="108" w:type="dxa"/>
            </w:tcMar>
            <w:vAlign w:val="center"/>
          </w:tcPr>
          <w:p w14:paraId="61F96B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b/>
                <w:bCs/>
                <w:color w:val="FFFFFF" w:themeColor="background1"/>
                <w:sz w:val="18"/>
                <w:szCs w:val="21"/>
                <w:lang w:val="en-US" w:eastAsia="zh-CN"/>
                <w14:textFill>
                  <w14:solidFill>
                    <w14:schemeClr w14:val="bg1"/>
                  </w14:solidFill>
                </w14:textFill>
              </w:rPr>
            </w:pPr>
            <w:r>
              <w:rPr>
                <w:rFonts w:hint="default" w:ascii="Times New Roman" w:hAnsi="Times New Roman" w:cs="Times New Roman"/>
                <w:b/>
                <w:bCs/>
                <w:color w:val="FFFFFF" w:themeColor="background1"/>
                <w:sz w:val="18"/>
                <w:szCs w:val="21"/>
                <w:lang w:val="en-US" w:eastAsia="zh-CN"/>
                <w14:textFill>
                  <w14:solidFill>
                    <w14:schemeClr w14:val="bg1"/>
                  </w14:solidFill>
                </w14:textFill>
              </w:rPr>
              <w:t>Configuration</w:t>
            </w:r>
          </w:p>
        </w:tc>
        <w:tc>
          <w:tcPr>
            <w:tcW w:w="1691" w:type="dxa"/>
            <w:tcBorders>
              <w:top w:val="single" w:color="77B900" w:sz="2" w:space="0"/>
              <w:left w:val="single" w:color="77B900" w:sz="2" w:space="0"/>
              <w:bottom w:val="single" w:color="77B900" w:sz="2" w:space="0"/>
              <w:right w:val="single" w:color="77B900" w:sz="2" w:space="0"/>
            </w:tcBorders>
            <w:shd w:val="clear" w:color="auto" w:fill="77B900"/>
            <w:tcMar>
              <w:left w:w="108" w:type="dxa"/>
              <w:right w:w="108" w:type="dxa"/>
            </w:tcMar>
            <w:vAlign w:val="center"/>
          </w:tcPr>
          <w:p w14:paraId="63C2B2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b/>
                <w:bCs/>
                <w:color w:val="FFFFFF" w:themeColor="background1"/>
                <w:sz w:val="18"/>
                <w:szCs w:val="21"/>
                <w:lang w:val="en-US" w:eastAsia="zh-CN"/>
                <w14:textFill>
                  <w14:solidFill>
                    <w14:schemeClr w14:val="bg1"/>
                  </w14:solidFill>
                </w14:textFill>
              </w:rPr>
            </w:pPr>
            <w:r>
              <w:rPr>
                <w:rFonts w:hint="default" w:ascii="Times New Roman" w:hAnsi="Times New Roman" w:cs="Times New Roman"/>
                <w:b/>
                <w:bCs/>
                <w:color w:val="FFFFFF" w:themeColor="background1"/>
                <w:sz w:val="18"/>
                <w:szCs w:val="21"/>
                <w:lang w:val="en-US" w:eastAsia="zh-CN"/>
                <w14:textFill>
                  <w14:solidFill>
                    <w14:schemeClr w14:val="bg1"/>
                  </w14:solidFill>
                </w14:textFill>
              </w:rPr>
              <w:t>Published Price</w:t>
            </w:r>
          </w:p>
        </w:tc>
      </w:tr>
      <w:tr w14:paraId="138D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37" w:hRule="atLeast"/>
        </w:trPr>
        <w:tc>
          <w:tcPr>
            <w:tcW w:w="1095" w:type="dxa"/>
            <w:tcBorders>
              <w:top w:val="single" w:color="77B900" w:sz="2" w:space="0"/>
              <w:left w:val="single" w:color="77B900" w:sz="2" w:space="0"/>
              <w:bottom w:val="single" w:color="77B900" w:sz="2" w:space="0"/>
              <w:right w:val="single" w:color="77B900" w:sz="2" w:space="0"/>
            </w:tcBorders>
            <w:shd w:val="clear" w:color="auto" w:fill="auto"/>
            <w:tcMar>
              <w:left w:w="108" w:type="dxa"/>
              <w:right w:w="108" w:type="dxa"/>
            </w:tcMar>
            <w:vAlign w:val="center"/>
          </w:tcPr>
          <w:p w14:paraId="6A863D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Standard Booth</w:t>
            </w:r>
          </w:p>
        </w:tc>
        <w:tc>
          <w:tcPr>
            <w:tcW w:w="1372" w:type="dxa"/>
            <w:tcBorders>
              <w:top w:val="single" w:color="77B900" w:sz="2" w:space="0"/>
              <w:left w:val="single" w:color="77B900" w:sz="2" w:space="0"/>
              <w:bottom w:val="single" w:color="77B900" w:sz="2" w:space="0"/>
              <w:right w:val="single" w:color="77B900" w:sz="2" w:space="0"/>
            </w:tcBorders>
            <w:shd w:val="clear" w:color="auto" w:fill="auto"/>
            <w:tcMar>
              <w:left w:w="108" w:type="dxa"/>
              <w:right w:w="108" w:type="dxa"/>
            </w:tcMar>
            <w:vAlign w:val="center"/>
          </w:tcPr>
          <w:p w14:paraId="0125C3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9m²</w:t>
            </w:r>
          </w:p>
          <w:p w14:paraId="7905D3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 3m x 3m x 2.5min height) </w:t>
            </w:r>
          </w:p>
        </w:tc>
        <w:tc>
          <w:tcPr>
            <w:tcW w:w="4463" w:type="dxa"/>
            <w:tcBorders>
              <w:top w:val="single" w:color="77B900" w:sz="2" w:space="0"/>
              <w:left w:val="single" w:color="77B900" w:sz="2" w:space="0"/>
              <w:bottom w:val="single" w:color="77B900" w:sz="2" w:space="0"/>
              <w:right w:val="single" w:color="77B900" w:sz="2" w:space="0"/>
            </w:tcBorders>
            <w:shd w:val="clear" w:color="auto" w:fill="auto"/>
            <w:tcMar>
              <w:left w:w="108" w:type="dxa"/>
              <w:right w:w="108" w:type="dxa"/>
            </w:tcMar>
            <w:vAlign w:val="center"/>
          </w:tcPr>
          <w:p w14:paraId="144CAA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System information counter (1000mmL x 500mmD x 750mmH)</w:t>
            </w:r>
          </w:p>
          <w:p w14:paraId="3D7CBB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Fascia Board (3000mmL x 340mmH) x 1</w:t>
            </w:r>
          </w:p>
          <w:p w14:paraId="216539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Black Leather Chair x 2 pcs</w:t>
            </w:r>
          </w:p>
          <w:p w14:paraId="253647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Square Table x 1 pc</w:t>
            </w:r>
          </w:p>
          <w:p w14:paraId="3F5870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500w socket x 1 pcs</w:t>
            </w:r>
          </w:p>
          <w:p w14:paraId="79CE32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13w LED spotlight x 3 pcs</w:t>
            </w:r>
          </w:p>
          <w:p w14:paraId="70AF6D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9sqm needlepunch carpet</w:t>
            </w:r>
          </w:p>
        </w:tc>
        <w:tc>
          <w:tcPr>
            <w:tcW w:w="1691" w:type="dxa"/>
            <w:tcBorders>
              <w:top w:val="single" w:color="77B900" w:sz="2" w:space="0"/>
              <w:left w:val="single" w:color="77B900" w:sz="2" w:space="0"/>
              <w:bottom w:val="single" w:color="77B900" w:sz="2" w:space="0"/>
              <w:right w:val="single" w:color="77B900" w:sz="2" w:space="0"/>
            </w:tcBorders>
            <w:shd w:val="clear" w:color="auto" w:fill="auto"/>
            <w:tcMar>
              <w:left w:w="108" w:type="dxa"/>
              <w:right w:w="108" w:type="dxa"/>
            </w:tcMar>
            <w:vAlign w:val="center"/>
          </w:tcPr>
          <w:p w14:paraId="7BAFB7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40,000 RMB per booth</w:t>
            </w:r>
          </w:p>
          <w:p w14:paraId="6D6516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(That is, 44,000 HKD per booth; 6,000 USD per booth)</w:t>
            </w:r>
          </w:p>
        </w:tc>
      </w:tr>
      <w:tr w14:paraId="6B08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95" w:type="dxa"/>
            <w:tcBorders>
              <w:top w:val="single" w:color="77B900" w:sz="2" w:space="0"/>
              <w:left w:val="single" w:color="77B900" w:sz="2" w:space="0"/>
              <w:bottom w:val="single" w:color="77B900" w:sz="2" w:space="0"/>
              <w:right w:val="single" w:color="77B900" w:sz="2" w:space="0"/>
            </w:tcBorders>
            <w:shd w:val="clear" w:color="auto" w:fill="auto"/>
            <w:tcMar>
              <w:top w:w="48" w:type="dxa"/>
              <w:left w:w="48" w:type="dxa"/>
              <w:bottom w:w="48" w:type="dxa"/>
              <w:right w:w="48" w:type="dxa"/>
            </w:tcMar>
            <w:vAlign w:val="center"/>
          </w:tcPr>
          <w:p w14:paraId="6E20F9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Startup Booth</w:t>
            </w:r>
          </w:p>
        </w:tc>
        <w:tc>
          <w:tcPr>
            <w:tcW w:w="1372" w:type="dxa"/>
            <w:tcBorders>
              <w:top w:val="single" w:color="77B900" w:sz="2" w:space="0"/>
              <w:left w:val="single" w:color="77B900" w:sz="2" w:space="0"/>
              <w:bottom w:val="single" w:color="77B900" w:sz="2" w:space="0"/>
              <w:right w:val="single" w:color="77B900" w:sz="2" w:space="0"/>
            </w:tcBorders>
            <w:shd w:val="clear" w:color="auto" w:fill="auto"/>
            <w:tcMar>
              <w:top w:w="48" w:type="dxa"/>
              <w:left w:w="48" w:type="dxa"/>
              <w:bottom w:w="48" w:type="dxa"/>
              <w:right w:w="48" w:type="dxa"/>
            </w:tcMar>
            <w:vAlign w:val="center"/>
          </w:tcPr>
          <w:p w14:paraId="08D3F8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4.5m²</w:t>
            </w:r>
          </w:p>
          <w:p w14:paraId="3393C3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(1.5m in width x 3m in length)</w:t>
            </w:r>
          </w:p>
        </w:tc>
        <w:tc>
          <w:tcPr>
            <w:tcW w:w="4463" w:type="dxa"/>
            <w:tcBorders>
              <w:top w:val="single" w:color="77B900" w:sz="2" w:space="0"/>
              <w:left w:val="single" w:color="77B900" w:sz="2" w:space="0"/>
              <w:bottom w:val="single" w:color="77B900" w:sz="2" w:space="0"/>
              <w:right w:val="single" w:color="77B900" w:sz="2" w:space="0"/>
            </w:tcBorders>
            <w:shd w:val="clear" w:color="auto" w:fill="auto"/>
            <w:tcMar>
              <w:top w:w="48" w:type="dxa"/>
              <w:left w:w="48" w:type="dxa"/>
              <w:bottom w:w="48" w:type="dxa"/>
              <w:right w:w="48" w:type="dxa"/>
            </w:tcMar>
            <w:vAlign w:val="center"/>
          </w:tcPr>
          <w:p w14:paraId="36A772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Backdrop (1500mmL x 2500mmH)</w:t>
            </w:r>
          </w:p>
          <w:p w14:paraId="3117B7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Backdrop foamboard (1500 x 1750mmH - 1 side) x 1</w:t>
            </w:r>
          </w:p>
          <w:p w14:paraId="0BFC86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Black Leather Chair x 2 pcs</w:t>
            </w:r>
          </w:p>
          <w:p w14:paraId="34C3BE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System information counter (1000mmL x 500mmD x 750mmH)</w:t>
            </w:r>
          </w:p>
          <w:p w14:paraId="73B4D1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500w socket x 1 pcs</w:t>
            </w:r>
          </w:p>
          <w:p w14:paraId="05C887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13w LED spotlight x 2 pcs</w:t>
            </w:r>
          </w:p>
          <w:p w14:paraId="28FC73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4.5sqm needlepunch carpet</w:t>
            </w:r>
          </w:p>
        </w:tc>
        <w:tc>
          <w:tcPr>
            <w:tcW w:w="1691" w:type="dxa"/>
            <w:tcBorders>
              <w:top w:val="single" w:color="77B900" w:sz="2" w:space="0"/>
              <w:left w:val="single" w:color="77B900" w:sz="2" w:space="0"/>
              <w:bottom w:val="single" w:color="77B900" w:sz="2" w:space="0"/>
              <w:right w:val="single" w:color="77B900" w:sz="2" w:space="0"/>
            </w:tcBorders>
            <w:shd w:val="clear" w:color="auto" w:fill="auto"/>
            <w:tcMar>
              <w:top w:w="48" w:type="dxa"/>
              <w:left w:w="48" w:type="dxa"/>
              <w:bottom w:w="48" w:type="dxa"/>
              <w:right w:w="48" w:type="dxa"/>
            </w:tcMar>
            <w:vAlign w:val="center"/>
          </w:tcPr>
          <w:p w14:paraId="3838C3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20,000 RMB per booth</w:t>
            </w:r>
          </w:p>
          <w:p w14:paraId="304882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(That is, 22,000 HKD per booth; 3,000 USD per booth)</w:t>
            </w:r>
          </w:p>
        </w:tc>
      </w:tr>
      <w:tr w14:paraId="7EF0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6" w:hRule="atLeast"/>
        </w:trPr>
        <w:tc>
          <w:tcPr>
            <w:tcW w:w="1095" w:type="dxa"/>
            <w:tcBorders>
              <w:top w:val="single" w:color="77B900" w:sz="2" w:space="0"/>
              <w:left w:val="single" w:color="77B900" w:sz="2" w:space="0"/>
              <w:bottom w:val="single" w:color="77B900" w:sz="2" w:space="0"/>
              <w:right w:val="single" w:color="77B900" w:sz="2" w:space="0"/>
            </w:tcBorders>
            <w:shd w:val="clear" w:color="auto" w:fill="auto"/>
            <w:tcMar>
              <w:top w:w="48" w:type="dxa"/>
              <w:left w:w="48" w:type="dxa"/>
              <w:bottom w:w="48" w:type="dxa"/>
              <w:right w:w="48" w:type="dxa"/>
            </w:tcMar>
            <w:vAlign w:val="center"/>
          </w:tcPr>
          <w:p w14:paraId="70B5A4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Raw Space Booth</w:t>
            </w:r>
          </w:p>
        </w:tc>
        <w:tc>
          <w:tcPr>
            <w:tcW w:w="1372" w:type="dxa"/>
            <w:tcBorders>
              <w:top w:val="single" w:color="77B900" w:sz="2" w:space="0"/>
              <w:left w:val="single" w:color="77B900" w:sz="2" w:space="0"/>
              <w:bottom w:val="single" w:color="77B900" w:sz="2" w:space="0"/>
              <w:right w:val="single" w:color="77B900" w:sz="2" w:space="0"/>
            </w:tcBorders>
            <w:shd w:val="clear" w:color="auto" w:fill="auto"/>
            <w:tcMar>
              <w:top w:w="48" w:type="dxa"/>
              <w:left w:w="48" w:type="dxa"/>
              <w:bottom w:w="48" w:type="dxa"/>
              <w:right w:w="48" w:type="dxa"/>
            </w:tcMar>
            <w:vAlign w:val="center"/>
          </w:tcPr>
          <w:p w14:paraId="4D247B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eastAsia" w:ascii="Times New Roman" w:hAnsi="Times New Roman" w:cs="Times New Roman"/>
                <w:sz w:val="15"/>
                <w:szCs w:val="18"/>
                <w:lang w:val="en-US" w:eastAsia="zh-CN"/>
              </w:rPr>
              <w:t>Over</w:t>
            </w:r>
            <w:r>
              <w:rPr>
                <w:rFonts w:hint="default" w:ascii="Times New Roman" w:hAnsi="Times New Roman" w:cs="Times New Roman"/>
                <w:sz w:val="15"/>
                <w:szCs w:val="18"/>
                <w:lang w:val="en-US" w:eastAsia="zh-CN"/>
              </w:rPr>
              <w:t xml:space="preserve"> 36 m²</w:t>
            </w:r>
          </w:p>
        </w:tc>
        <w:tc>
          <w:tcPr>
            <w:tcW w:w="4463" w:type="dxa"/>
            <w:tcBorders>
              <w:top w:val="single" w:color="77B900" w:sz="2" w:space="0"/>
              <w:left w:val="single" w:color="77B900" w:sz="2" w:space="0"/>
              <w:bottom w:val="single" w:color="77B900" w:sz="2" w:space="0"/>
              <w:right w:val="single" w:color="77B900" w:sz="2" w:space="0"/>
            </w:tcBorders>
            <w:shd w:val="clear" w:color="auto" w:fill="auto"/>
            <w:tcMar>
              <w:top w:w="48" w:type="dxa"/>
              <w:left w:w="48" w:type="dxa"/>
              <w:bottom w:w="48" w:type="dxa"/>
              <w:right w:w="48" w:type="dxa"/>
            </w:tcMar>
            <w:vAlign w:val="center"/>
          </w:tcPr>
          <w:p w14:paraId="72304A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Exhibitors are responsible for designing and decorating their own exhibition area after booking the space. This option is suitable for companies with personalized and high-end requirements for booth image and display effects, allowing them to fully showcase their brand and product features to attract professional visitors and potential customers.</w:t>
            </w:r>
          </w:p>
        </w:tc>
        <w:tc>
          <w:tcPr>
            <w:tcW w:w="1691" w:type="dxa"/>
            <w:tcBorders>
              <w:top w:val="single" w:color="77B900" w:sz="2" w:space="0"/>
              <w:left w:val="single" w:color="77B900" w:sz="2" w:space="0"/>
              <w:bottom w:val="single" w:color="77B900" w:sz="2" w:space="0"/>
              <w:right w:val="single" w:color="77B900" w:sz="2" w:space="0"/>
            </w:tcBorders>
            <w:shd w:val="clear" w:color="auto" w:fill="auto"/>
            <w:tcMar>
              <w:top w:w="48" w:type="dxa"/>
              <w:left w:w="48" w:type="dxa"/>
              <w:bottom w:w="48" w:type="dxa"/>
              <w:right w:w="48" w:type="dxa"/>
            </w:tcMar>
            <w:vAlign w:val="center"/>
          </w:tcPr>
          <w:p w14:paraId="4AF101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4,000 RMB per m²</w:t>
            </w:r>
          </w:p>
          <w:p w14:paraId="65D035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(That is, 4,400 HKD per m²; 600 USD per m²)</w:t>
            </w:r>
          </w:p>
        </w:tc>
      </w:tr>
      <w:tr w14:paraId="31F5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8621" w:type="dxa"/>
            <w:gridSpan w:val="4"/>
            <w:tcBorders>
              <w:top w:val="single" w:color="77B900" w:sz="2" w:space="0"/>
              <w:left w:val="single" w:color="77B900" w:sz="2" w:space="0"/>
              <w:bottom w:val="single" w:color="77B900" w:sz="2" w:space="0"/>
              <w:right w:val="single" w:color="77B900" w:sz="2" w:space="0"/>
            </w:tcBorders>
            <w:shd w:val="clear" w:color="auto" w:fill="auto"/>
            <w:tcMar>
              <w:top w:w="48" w:type="dxa"/>
              <w:left w:w="48" w:type="dxa"/>
              <w:bottom w:w="48" w:type="dxa"/>
              <w:right w:w="48" w:type="dxa"/>
            </w:tcMar>
            <w:vAlign w:val="center"/>
          </w:tcPr>
          <w:p w14:paraId="29ED30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*All the above booths include the rights and interests of a one-year standard membership of the High-Tech Innovation Club</w:t>
            </w:r>
            <w:r>
              <w:rPr>
                <w:rFonts w:hint="eastAsia" w:ascii="Times New Roman" w:hAnsi="Times New Roman" w:cs="Times New Roman"/>
                <w:sz w:val="15"/>
                <w:szCs w:val="18"/>
                <w:lang w:val="en-US" w:eastAsia="zh-CN"/>
              </w:rPr>
              <w:t>. Applications will be reviewed by the organising committee, which will then allocate booths. The organiser reserves the right of final interpretation.</w:t>
            </w:r>
          </w:p>
          <w:p w14:paraId="022E74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sz w:val="15"/>
                <w:szCs w:val="18"/>
                <w:lang w:val="en-US" w:eastAsia="zh-CN"/>
              </w:rPr>
            </w:pPr>
          </w:p>
        </w:tc>
      </w:tr>
    </w:tbl>
    <w:p w14:paraId="72388181">
      <w:pPr>
        <w:rPr>
          <w:rFonts w:hint="default" w:ascii="Times New Roman" w:hAnsi="Times New Roman" w:cs="Times New Roman"/>
          <w:lang w:val="en-US" w:eastAsia="zh-CN"/>
        </w:rPr>
      </w:pPr>
    </w:p>
    <w:p w14:paraId="1BB2393B">
      <w:pPr>
        <w:ind w:left="0" w:leftChars="0" w:firstLine="218" w:firstLineChars="104"/>
        <w:rPr>
          <w:rFonts w:hint="default" w:ascii="Times New Roman" w:hAnsi="Times New Roman" w:cs="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844A1">
    <w:pPr>
      <w:pStyle w:val="5"/>
    </w:pPr>
    <w:r>
      <w:rPr>
        <w:rFonts w:hint="eastAsia" w:eastAsia="宋体"/>
      </w:rPr>
      <w:drawing>
        <wp:anchor distT="0" distB="0" distL="114300" distR="114300" simplePos="0" relativeHeight="251659264" behindDoc="0" locked="0" layoutInCell="1" allowOverlap="1">
          <wp:simplePos x="0" y="0"/>
          <wp:positionH relativeFrom="column">
            <wp:posOffset>-1356995</wp:posOffset>
          </wp:positionH>
          <wp:positionV relativeFrom="paragraph">
            <wp:posOffset>-553085</wp:posOffset>
          </wp:positionV>
          <wp:extent cx="7773670" cy="1038225"/>
          <wp:effectExtent l="0" t="0" r="13970" b="13335"/>
          <wp:wrapSquare wrapText="bothSides"/>
          <wp:docPr id="1" name="图片 1" descr="微信图片_2025060511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605114822"/>
                  <pic:cNvPicPr>
                    <a:picLocks noChangeAspect="1"/>
                  </pic:cNvPicPr>
                </pic:nvPicPr>
                <pic:blipFill>
                  <a:blip r:embed="rId1"/>
                  <a:stretch>
                    <a:fillRect/>
                  </a:stretch>
                </pic:blipFill>
                <pic:spPr>
                  <a:xfrm>
                    <a:off x="0" y="0"/>
                    <a:ext cx="7773670" cy="10382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946A7"/>
    <w:rsid w:val="115049F7"/>
    <w:rsid w:val="2AEA0044"/>
    <w:rsid w:val="3D5A6927"/>
    <w:rsid w:val="4F923C84"/>
    <w:rsid w:val="5C7801F1"/>
    <w:rsid w:val="707C5E06"/>
    <w:rsid w:val="797F7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539</Words>
  <Characters>2891</Characters>
  <Lines>0</Lines>
  <Paragraphs>0</Paragraphs>
  <TotalTime>0</TotalTime>
  <ScaleCrop>false</ScaleCrop>
  <LinksUpToDate>false</LinksUpToDate>
  <CharactersWithSpaces>3362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2025-09-25T11:02:00Z</dcterms:created>
  <dc:creator>T_</dc:creator>
  <cp:lastModifiedBy>T_</cp:lastModifiedBy>
  <dcterms:modified xsi:type="dcterms:W3CDTF">2025-10-23T10:37:22Z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BA4258B9FEC24CBAB1BCB63771C3ACEA_11</vt:lpwstr>
  </property>
  <property fmtid="{D5CDD505-2E9C-101B-9397-08002B2CF9AE}" pid="4" name="KSOTemplateDocerSaveRecord">
    <vt:lpwstr>eyJoZGlkIjoiNGE0NzAxMmQwYTY2MzJjMjZlYTA3YWY5NWQ2NDM4OTkiLCJ1c2VySWQiOiIzMjg1ODMwMzUifQ==</vt:lpwstr>
  </property>
</Properties>
</file>